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 w:cs="华文仿宋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eastAsia="zh-CN"/>
        </w:rPr>
        <w:t>关于校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</w:rPr>
        <w:t>纪检监察课题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</w:rPr>
        <w:t>项目管理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eastAsia="zh-CN"/>
        </w:rPr>
        <w:t>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  <w:t>一、研究期限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校纪检监察课题的研究期限为一年，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一般情况下当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年6月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前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立项，次年5月结项。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  <w:t>二、结项要求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在规定时间内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各项目主持人通过上交结项验收报告、已发表的研究成果、进行结项验收汇报等形式进行结项汇报，校纪委会研究、评审后批准课题结项。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重点项目：项目主持人须独立或作为第一作者发表2篇省级或1篇核心及以上刊物论文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一般项目：项目主持人须独立或作为第一作者发表1篇省级及以上刊物论文或不少于5000字的研究报告。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项目成果在发表或出版时必须在显著位置标注南京晓庄学院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纪检监察课题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研究项目名称及编号，成果第一署名单位必须为“南京晓庄学院”，成果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须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与研究项目相关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，不少于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val="en-US" w:eastAsia="zh-CN"/>
        </w:rPr>
        <w:t>3000字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  <w:t>三、经费支持、管理与使用</w:t>
      </w:r>
    </w:p>
    <w:p>
      <w:pPr>
        <w:widowControl/>
        <w:shd w:val="clear" w:color="auto" w:fill="FFFFFF"/>
        <w:spacing w:line="480" w:lineRule="atLeast"/>
        <w:ind w:firstLine="420"/>
        <w:jc w:val="left"/>
        <w:textAlignment w:val="baseline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（一）经费支持、管理</w:t>
      </w:r>
    </w:p>
    <w:p>
      <w:pPr>
        <w:widowControl/>
        <w:shd w:val="clear" w:color="auto" w:fill="FFFFFF"/>
        <w:spacing w:line="480" w:lineRule="atLeast"/>
        <w:ind w:firstLine="420"/>
        <w:jc w:val="left"/>
        <w:textAlignment w:val="baseline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校纪检监察课题分为重点课题和一般课题两类，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对获准立项的重点课题、一般课题分别给予6000元/项、3000元/项的经费支持，批准立项后一次性拨付，经费管理参照《南京晓庄学院科研经费管理办法》执行。结题验收不合格的项目，由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lang w:eastAsia="zh-CN"/>
        </w:rPr>
        <w:t>纪委办、监察室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追回已拨经费。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经费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lang w:eastAsia="zh-CN"/>
        </w:rPr>
        <w:t>使用范围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1.购置、复印所需图书资料费用；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2.课题调研或参加相关学术活动的差旅费(含打车费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lang w:eastAsia="zh-CN"/>
        </w:rPr>
        <w:t>等）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、资料费、会务费；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3.课题研究必需的查询、打印、设计、编辑及出版等费用；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4.其他相关费用。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  <w:t>、课题项目经费的审批程序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课题项目经费的使用情况，应由课题项目负责人严格把关，每一笔经费的报销，须经课题项目负责人审核同意并签字后到财务处报销。涉及到打车费、汽油费、过桥过路费等“其他相关费用”的支出，应严格控制，必要时需纪委书记审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kern w:val="0"/>
          <w:sz w:val="32"/>
          <w:szCs w:val="32"/>
          <w:lang w:eastAsia="zh-CN"/>
        </w:rPr>
        <w:t>五、其他事宜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本办法适用于学校纪检监察课题专项，未尽事宜可参照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南京晓庄学院科研经费管理办法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》（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南晓院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val="en-US" w:eastAsia="zh-CN"/>
        </w:rPr>
        <w:t>[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201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val="en-US" w:eastAsia="zh-CN"/>
        </w:rPr>
        <w:t>8]32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>号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</w:rPr>
        <w:t xml:space="preserve">进行管理。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val="en-US" w:eastAsia="zh-CN"/>
        </w:rPr>
        <w:t>本办法解释权归纪委办、监督检查室、审查调查室</w:t>
      </w:r>
      <w:bookmarkStart w:id="0" w:name="_GoBack"/>
      <w:bookmarkEnd w:id="0"/>
      <w:r>
        <w:rPr>
          <w:rFonts w:hint="eastAsia" w:ascii="华文仿宋" w:hAnsi="华文仿宋" w:eastAsia="华文仿宋" w:cs="华文仿宋"/>
          <w:bCs/>
          <w:color w:val="auto"/>
          <w:kern w:val="0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58BA"/>
    <w:rsid w:val="00084956"/>
    <w:rsid w:val="007B07C8"/>
    <w:rsid w:val="009253F1"/>
    <w:rsid w:val="00A10D7A"/>
    <w:rsid w:val="00B358BA"/>
    <w:rsid w:val="00E95E7D"/>
    <w:rsid w:val="00ED2A0F"/>
    <w:rsid w:val="01621B7B"/>
    <w:rsid w:val="03615C2F"/>
    <w:rsid w:val="06935191"/>
    <w:rsid w:val="07DD12E5"/>
    <w:rsid w:val="0AA73C7D"/>
    <w:rsid w:val="0BAA03D5"/>
    <w:rsid w:val="0DA558CC"/>
    <w:rsid w:val="15770248"/>
    <w:rsid w:val="19A52592"/>
    <w:rsid w:val="1C1B7258"/>
    <w:rsid w:val="1DED63F3"/>
    <w:rsid w:val="1F916848"/>
    <w:rsid w:val="243B5E46"/>
    <w:rsid w:val="2BAA7789"/>
    <w:rsid w:val="2C522CF9"/>
    <w:rsid w:val="2D422630"/>
    <w:rsid w:val="2FCD70D1"/>
    <w:rsid w:val="31136104"/>
    <w:rsid w:val="31933066"/>
    <w:rsid w:val="327964BE"/>
    <w:rsid w:val="3421128F"/>
    <w:rsid w:val="35664108"/>
    <w:rsid w:val="35C84B57"/>
    <w:rsid w:val="371C3E93"/>
    <w:rsid w:val="37FA1ECA"/>
    <w:rsid w:val="38F13F16"/>
    <w:rsid w:val="3AC7193A"/>
    <w:rsid w:val="3ACA03E5"/>
    <w:rsid w:val="3B162A2B"/>
    <w:rsid w:val="3E14539B"/>
    <w:rsid w:val="4106774D"/>
    <w:rsid w:val="449433D9"/>
    <w:rsid w:val="46E1389E"/>
    <w:rsid w:val="4BBB5141"/>
    <w:rsid w:val="4DCF5C3C"/>
    <w:rsid w:val="50E35858"/>
    <w:rsid w:val="539648D7"/>
    <w:rsid w:val="57FD5021"/>
    <w:rsid w:val="592734B9"/>
    <w:rsid w:val="5BB71404"/>
    <w:rsid w:val="5C78330A"/>
    <w:rsid w:val="5E690E24"/>
    <w:rsid w:val="5EF35018"/>
    <w:rsid w:val="601E7F33"/>
    <w:rsid w:val="60A613B1"/>
    <w:rsid w:val="617967EA"/>
    <w:rsid w:val="63E46BB6"/>
    <w:rsid w:val="644C78D4"/>
    <w:rsid w:val="65735F12"/>
    <w:rsid w:val="68045978"/>
    <w:rsid w:val="68255D1A"/>
    <w:rsid w:val="6C282548"/>
    <w:rsid w:val="6EDB12D3"/>
    <w:rsid w:val="747C477A"/>
    <w:rsid w:val="78572013"/>
    <w:rsid w:val="78E3074D"/>
    <w:rsid w:val="7A7771CD"/>
    <w:rsid w:val="7D2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  <w:style w:type="character" w:customStyle="1" w:styleId="13">
    <w:name w:val="item-name2"/>
    <w:basedOn w:val="6"/>
    <w:qFormat/>
    <w:uiPriority w:val="0"/>
  </w:style>
  <w:style w:type="character" w:customStyle="1" w:styleId="14">
    <w:name w:val="item-name3"/>
    <w:basedOn w:val="6"/>
    <w:qFormat/>
    <w:uiPriority w:val="0"/>
  </w:style>
  <w:style w:type="character" w:customStyle="1" w:styleId="15">
    <w:name w:val="news_meta"/>
    <w:basedOn w:val="6"/>
    <w:qFormat/>
    <w:uiPriority w:val="0"/>
  </w:style>
  <w:style w:type="character" w:customStyle="1" w:styleId="16">
    <w:name w:val="news_title"/>
    <w:basedOn w:val="6"/>
    <w:qFormat/>
    <w:uiPriority w:val="0"/>
  </w:style>
  <w:style w:type="character" w:customStyle="1" w:styleId="17">
    <w:name w:val="column-name"/>
    <w:basedOn w:val="6"/>
    <w:qFormat/>
    <w:uiPriority w:val="0"/>
    <w:rPr>
      <w:color w:val="124D83"/>
    </w:rPr>
  </w:style>
  <w:style w:type="character" w:customStyle="1" w:styleId="18">
    <w:name w:val="column-name1"/>
    <w:basedOn w:val="6"/>
    <w:qFormat/>
    <w:uiPriority w:val="0"/>
    <w:rPr>
      <w:color w:val="124D83"/>
    </w:rPr>
  </w:style>
  <w:style w:type="character" w:customStyle="1" w:styleId="19">
    <w:name w:val="column-name2"/>
    <w:basedOn w:val="6"/>
    <w:qFormat/>
    <w:uiPriority w:val="0"/>
    <w:rPr>
      <w:color w:val="124D83"/>
    </w:rPr>
  </w:style>
  <w:style w:type="character" w:customStyle="1" w:styleId="20">
    <w:name w:val="column-name3"/>
    <w:basedOn w:val="6"/>
    <w:qFormat/>
    <w:uiPriority w:val="0"/>
    <w:rPr>
      <w:color w:val="124D83"/>
    </w:rPr>
  </w:style>
  <w:style w:type="character" w:customStyle="1" w:styleId="21">
    <w:name w:val="column-name4"/>
    <w:basedOn w:val="6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510</Characters>
  <Lines>4</Lines>
  <Paragraphs>1</Paragraphs>
  <TotalTime>16</TotalTime>
  <ScaleCrop>false</ScaleCrop>
  <LinksUpToDate>false</LinksUpToDate>
  <CharactersWithSpaces>598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2016-06-16T01:39:00Z</dcterms:created>
  <dc:creator>jiwei</dc:creator>
  <cp:lastModifiedBy>jeanne</cp:lastModifiedBy>
  <dcterms:modified xsi:type="dcterms:W3CDTF">2021-06-25T07:34:25Z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D151FAB12ED841F5AAA059C41A6ED54B</vt:lpwstr>
  </property>
</Properties>
</file>